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1055C938" w:rsidR="00D82C18" w:rsidRPr="00A76AF4" w:rsidRDefault="00E22D07" w:rsidP="00AB192E">
      <w:pPr>
        <w:rPr>
          <w:rFonts w:ascii="Verdana" w:hAnsi="Verdana"/>
          <w:lang w:val="tr-TR"/>
        </w:rPr>
      </w:pPr>
      <w:r w:rsidRPr="00A76AF4">
        <w:rPr>
          <w:rFonts w:ascii="Verdana" w:hAnsi="Verdana"/>
          <w:b/>
          <w:sz w:val="32"/>
          <w:szCs w:val="32"/>
          <w:lang w:val="tr-TR"/>
        </w:rPr>
        <w:t xml:space="preserve">Ders </w:t>
      </w:r>
      <w:r w:rsidR="00B71D66" w:rsidRPr="00A76AF4">
        <w:rPr>
          <w:rFonts w:ascii="Verdana" w:hAnsi="Verdana"/>
          <w:b/>
          <w:sz w:val="32"/>
          <w:szCs w:val="32"/>
          <w:lang w:val="tr-TR"/>
        </w:rPr>
        <w:t>Plan</w:t>
      </w:r>
      <w:r w:rsidRPr="00A76AF4">
        <w:rPr>
          <w:rFonts w:ascii="Verdana" w:hAnsi="Verdana"/>
          <w:b/>
          <w:sz w:val="32"/>
          <w:szCs w:val="32"/>
          <w:lang w:val="tr-TR"/>
        </w:rPr>
        <w:t>ı</w:t>
      </w:r>
    </w:p>
    <w:p w14:paraId="297047B4" w14:textId="77777777" w:rsidR="00B71D66" w:rsidRPr="00A76AF4" w:rsidRDefault="00B71D66" w:rsidP="00B71D66">
      <w:pPr>
        <w:pStyle w:val="ListeParagraf"/>
        <w:ind w:left="360"/>
        <w:rPr>
          <w:rFonts w:ascii="Verdana" w:hAnsi="Verdana"/>
          <w:lang w:val="tr-TR"/>
        </w:rPr>
      </w:pPr>
    </w:p>
    <w:p w14:paraId="6857C56D" w14:textId="3C48EFDD" w:rsidR="00D82C18" w:rsidRPr="00A76AF4" w:rsidRDefault="00A76AF4" w:rsidP="00AB192E">
      <w:pPr>
        <w:rPr>
          <w:rFonts w:ascii="Verdana" w:hAnsi="Verdana"/>
          <w:b/>
          <w:sz w:val="22"/>
          <w:szCs w:val="22"/>
          <w:lang w:val="tr-TR"/>
        </w:rPr>
      </w:pPr>
      <w:r>
        <w:rPr>
          <w:rFonts w:ascii="Verdana" w:hAnsi="Verdana"/>
          <w:sz w:val="28"/>
          <w:szCs w:val="28"/>
          <w:lang w:val="tr-TR"/>
        </w:rPr>
        <w:t>Ders</w:t>
      </w:r>
      <w:r w:rsidR="00D82C18" w:rsidRPr="00A76AF4">
        <w:rPr>
          <w:rFonts w:ascii="Verdana" w:hAnsi="Verdana"/>
          <w:sz w:val="28"/>
          <w:szCs w:val="28"/>
          <w:lang w:val="tr-TR"/>
        </w:rPr>
        <w:t xml:space="preserve"> </w:t>
      </w:r>
      <w:r w:rsidR="005951B6" w:rsidRPr="00A76AF4">
        <w:rPr>
          <w:rFonts w:ascii="Verdana" w:hAnsi="Verdana"/>
          <w:sz w:val="28"/>
          <w:szCs w:val="28"/>
          <w:lang w:val="tr-TR"/>
        </w:rPr>
        <w:t>1</w:t>
      </w:r>
      <w:r w:rsidR="00D82C18" w:rsidRPr="00A76AF4">
        <w:rPr>
          <w:rFonts w:ascii="Verdana" w:hAnsi="Verdana"/>
          <w:sz w:val="28"/>
          <w:szCs w:val="28"/>
          <w:lang w:val="tr-TR"/>
        </w:rPr>
        <w:t>.</w:t>
      </w:r>
      <w:r w:rsidR="00D06AB2" w:rsidRPr="00A76AF4">
        <w:rPr>
          <w:rFonts w:ascii="Verdana" w:hAnsi="Verdana"/>
          <w:sz w:val="28"/>
          <w:szCs w:val="28"/>
          <w:lang w:val="tr-TR"/>
        </w:rPr>
        <w:t>2.2</w:t>
      </w:r>
      <w:r w:rsidR="00D82C18" w:rsidRPr="00A76AF4">
        <w:rPr>
          <w:rFonts w:ascii="Verdana" w:hAnsi="Verdana"/>
          <w:sz w:val="28"/>
          <w:szCs w:val="28"/>
          <w:lang w:val="tr-TR"/>
        </w:rPr>
        <w:t xml:space="preserve"> (</w:t>
      </w:r>
      <w:r>
        <w:rPr>
          <w:rFonts w:ascii="Verdana" w:hAnsi="Verdana"/>
          <w:sz w:val="28"/>
          <w:szCs w:val="28"/>
          <w:lang w:val="tr-TR"/>
        </w:rPr>
        <w:t>Budapeşte</w:t>
      </w:r>
      <w:r w:rsidR="00AB192E" w:rsidRPr="00A76AF4">
        <w:rPr>
          <w:rFonts w:ascii="Verdana" w:hAnsi="Verdana"/>
          <w:sz w:val="28"/>
          <w:szCs w:val="28"/>
          <w:lang w:val="tr-TR"/>
        </w:rPr>
        <w:t xml:space="preserve"> </w:t>
      </w:r>
      <w:r>
        <w:rPr>
          <w:rFonts w:ascii="Verdana" w:hAnsi="Verdana"/>
          <w:sz w:val="28"/>
          <w:szCs w:val="28"/>
          <w:lang w:val="tr-TR"/>
        </w:rPr>
        <w:t>Sözleşmesi Maddi Hükümler</w:t>
      </w:r>
      <w:r w:rsidR="00D82C18" w:rsidRPr="00A76AF4">
        <w:rPr>
          <w:rFonts w:ascii="Verdana" w:hAnsi="Verdana"/>
          <w:sz w:val="28"/>
          <w:szCs w:val="28"/>
          <w:lang w:val="tr-TR"/>
        </w:rPr>
        <w:t>)</w:t>
      </w:r>
    </w:p>
    <w:p w14:paraId="0A3DD02D" w14:textId="77777777" w:rsidR="00D82C18" w:rsidRPr="00A76AF4" w:rsidRDefault="00D82C18" w:rsidP="00B71D66">
      <w:pPr>
        <w:ind w:left="720"/>
        <w:rPr>
          <w:rFonts w:ascii="Verdana" w:hAnsi="Verdana"/>
          <w:lang w:val="tr-TR"/>
        </w:rPr>
      </w:pPr>
    </w:p>
    <w:tbl>
      <w:tblPr>
        <w:tblStyle w:val="TabloKlavuzu"/>
        <w:tblW w:w="0" w:type="auto"/>
        <w:tblLook w:val="04A0" w:firstRow="1" w:lastRow="0" w:firstColumn="1" w:lastColumn="0" w:noHBand="0" w:noVBand="1"/>
      </w:tblPr>
      <w:tblGrid>
        <w:gridCol w:w="1615"/>
        <w:gridCol w:w="4711"/>
        <w:gridCol w:w="2684"/>
      </w:tblGrid>
      <w:tr w:rsidR="003406F3" w:rsidRPr="00A76AF4" w14:paraId="58A3485E" w14:textId="77777777" w:rsidTr="00431479">
        <w:trPr>
          <w:trHeight w:val="872"/>
        </w:trPr>
        <w:tc>
          <w:tcPr>
            <w:tcW w:w="6326" w:type="dxa"/>
            <w:gridSpan w:val="2"/>
            <w:shd w:val="clear" w:color="auto" w:fill="DEEAF6" w:themeFill="accent5" w:themeFillTint="33"/>
            <w:vAlign w:val="center"/>
          </w:tcPr>
          <w:p w14:paraId="0067FF35" w14:textId="09626264" w:rsidR="00D82C18" w:rsidRPr="00A76AF4" w:rsidRDefault="00A76AF4" w:rsidP="00A76AF4">
            <w:pPr>
              <w:rPr>
                <w:rFonts w:ascii="Verdana" w:hAnsi="Verdana"/>
                <w:sz w:val="22"/>
                <w:szCs w:val="22"/>
                <w:lang w:val="tr-TR"/>
              </w:rPr>
            </w:pPr>
            <w:r>
              <w:rPr>
                <w:rFonts w:ascii="Verdana" w:hAnsi="Verdana"/>
                <w:sz w:val="22"/>
                <w:szCs w:val="22"/>
                <w:lang w:val="tr-TR"/>
              </w:rPr>
              <w:t>Ders</w:t>
            </w:r>
            <w:r w:rsidR="00D82C18" w:rsidRPr="00A76AF4">
              <w:rPr>
                <w:rFonts w:ascii="Verdana" w:hAnsi="Verdana"/>
                <w:sz w:val="22"/>
                <w:szCs w:val="22"/>
                <w:lang w:val="tr-TR"/>
              </w:rPr>
              <w:t xml:space="preserve"> </w:t>
            </w:r>
            <w:r w:rsidR="005951B6" w:rsidRPr="00A76AF4">
              <w:rPr>
                <w:rFonts w:ascii="Verdana" w:hAnsi="Verdana"/>
                <w:sz w:val="22"/>
                <w:szCs w:val="22"/>
                <w:lang w:val="tr-TR"/>
              </w:rPr>
              <w:t>1</w:t>
            </w:r>
            <w:r w:rsidR="00D82C18" w:rsidRPr="00A76AF4">
              <w:rPr>
                <w:rFonts w:ascii="Verdana" w:hAnsi="Verdana"/>
                <w:sz w:val="22"/>
                <w:szCs w:val="22"/>
                <w:lang w:val="tr-TR"/>
              </w:rPr>
              <w:t>.</w:t>
            </w:r>
            <w:r w:rsidR="00D06AB2" w:rsidRPr="00A76AF4">
              <w:rPr>
                <w:rFonts w:ascii="Verdana" w:hAnsi="Verdana"/>
                <w:sz w:val="22"/>
                <w:szCs w:val="22"/>
                <w:lang w:val="tr-TR"/>
              </w:rPr>
              <w:t>2.2</w:t>
            </w:r>
            <w:r w:rsidR="00821651" w:rsidRPr="00A76AF4">
              <w:rPr>
                <w:rFonts w:ascii="Verdana" w:hAnsi="Verdana"/>
                <w:sz w:val="22"/>
                <w:szCs w:val="22"/>
                <w:lang w:val="tr-TR"/>
              </w:rPr>
              <w:t xml:space="preserve"> </w:t>
            </w:r>
            <w:r w:rsidR="00D82C18" w:rsidRPr="00A76AF4">
              <w:rPr>
                <w:rFonts w:ascii="Verdana" w:hAnsi="Verdana"/>
                <w:sz w:val="22"/>
                <w:szCs w:val="22"/>
                <w:lang w:val="tr-TR"/>
              </w:rPr>
              <w:t>(</w:t>
            </w:r>
            <w:r>
              <w:rPr>
                <w:rFonts w:ascii="Verdana" w:hAnsi="Verdana"/>
                <w:sz w:val="22"/>
                <w:szCs w:val="22"/>
                <w:lang w:val="tr-TR"/>
              </w:rPr>
              <w:t>Budapeşte</w:t>
            </w:r>
            <w:r w:rsidR="00AB192E" w:rsidRPr="00A76AF4">
              <w:rPr>
                <w:rFonts w:ascii="Verdana" w:hAnsi="Verdana"/>
                <w:sz w:val="22"/>
                <w:szCs w:val="22"/>
                <w:lang w:val="tr-TR"/>
              </w:rPr>
              <w:t xml:space="preserve"> </w:t>
            </w:r>
            <w:r>
              <w:rPr>
                <w:rFonts w:ascii="Verdana" w:hAnsi="Verdana"/>
                <w:sz w:val="22"/>
                <w:szCs w:val="22"/>
                <w:lang w:val="tr-TR"/>
              </w:rPr>
              <w:t>Sözleşmesi Maddi Hükümler</w:t>
            </w:r>
            <w:r w:rsidR="00D82C18" w:rsidRPr="00A76AF4">
              <w:rPr>
                <w:rFonts w:ascii="Verdana" w:hAnsi="Verdana"/>
                <w:sz w:val="22"/>
                <w:szCs w:val="22"/>
                <w:lang w:val="tr-TR"/>
              </w:rPr>
              <w:t>)</w:t>
            </w:r>
          </w:p>
        </w:tc>
        <w:tc>
          <w:tcPr>
            <w:tcW w:w="2684" w:type="dxa"/>
            <w:shd w:val="clear" w:color="auto" w:fill="DEEAF6" w:themeFill="accent5" w:themeFillTint="33"/>
            <w:vAlign w:val="center"/>
          </w:tcPr>
          <w:p w14:paraId="30B631DA" w14:textId="12930520" w:rsidR="00D82C18" w:rsidRPr="00A76AF4" w:rsidRDefault="00A76AF4" w:rsidP="00A76AF4">
            <w:pPr>
              <w:rPr>
                <w:rFonts w:ascii="Verdana" w:hAnsi="Verdana"/>
                <w:sz w:val="22"/>
                <w:szCs w:val="22"/>
                <w:lang w:val="tr-TR"/>
              </w:rPr>
            </w:pPr>
            <w:r>
              <w:rPr>
                <w:rFonts w:ascii="Verdana" w:hAnsi="Verdana"/>
                <w:sz w:val="22"/>
                <w:szCs w:val="22"/>
                <w:lang w:val="tr-TR"/>
              </w:rPr>
              <w:t>Süre</w:t>
            </w:r>
            <w:r w:rsidR="00D82C18" w:rsidRPr="00A76AF4">
              <w:rPr>
                <w:rFonts w:ascii="Verdana" w:hAnsi="Verdana"/>
                <w:sz w:val="22"/>
                <w:szCs w:val="22"/>
                <w:lang w:val="tr-TR"/>
              </w:rPr>
              <w:t xml:space="preserve">: </w:t>
            </w:r>
            <w:r w:rsidR="00446001" w:rsidRPr="00A76AF4">
              <w:rPr>
                <w:rFonts w:ascii="Verdana" w:hAnsi="Verdana"/>
                <w:sz w:val="22"/>
                <w:szCs w:val="22"/>
                <w:lang w:val="tr-TR"/>
              </w:rPr>
              <w:t>12</w:t>
            </w:r>
            <w:r w:rsidR="00A23567" w:rsidRPr="00A76AF4">
              <w:rPr>
                <w:rFonts w:ascii="Verdana" w:hAnsi="Verdana"/>
                <w:sz w:val="22"/>
                <w:szCs w:val="22"/>
                <w:lang w:val="tr-TR"/>
              </w:rPr>
              <w:t xml:space="preserve">0 </w:t>
            </w:r>
            <w:r>
              <w:rPr>
                <w:rFonts w:ascii="Verdana" w:hAnsi="Verdana"/>
                <w:sz w:val="22"/>
                <w:szCs w:val="22"/>
                <w:lang w:val="tr-TR"/>
              </w:rPr>
              <w:t>dakika</w:t>
            </w:r>
          </w:p>
        </w:tc>
      </w:tr>
      <w:tr w:rsidR="003406F3" w:rsidRPr="00A76AF4" w14:paraId="7C1107AB" w14:textId="77777777" w:rsidTr="00431479">
        <w:trPr>
          <w:trHeight w:val="1025"/>
        </w:trPr>
        <w:tc>
          <w:tcPr>
            <w:tcW w:w="9010" w:type="dxa"/>
            <w:gridSpan w:val="3"/>
            <w:vAlign w:val="center"/>
          </w:tcPr>
          <w:p w14:paraId="54042637" w14:textId="6490E52D" w:rsidR="00E7344B" w:rsidRPr="00A76AF4" w:rsidRDefault="00A76AF4" w:rsidP="005951B6">
            <w:pPr>
              <w:spacing w:before="120" w:after="120" w:line="280" w:lineRule="exact"/>
              <w:rPr>
                <w:rFonts w:ascii="Verdana" w:hAnsi="Verdana"/>
                <w:b/>
                <w:sz w:val="22"/>
                <w:szCs w:val="22"/>
                <w:lang w:val="tr-TR"/>
              </w:rPr>
            </w:pPr>
            <w:r>
              <w:rPr>
                <w:rFonts w:ascii="Verdana" w:hAnsi="Verdana"/>
                <w:b/>
                <w:sz w:val="22"/>
                <w:szCs w:val="22"/>
                <w:lang w:val="tr-TR"/>
              </w:rPr>
              <w:t>Gerekli Kaynaklar</w:t>
            </w:r>
            <w:r w:rsidR="00E7344B" w:rsidRPr="00A76AF4">
              <w:rPr>
                <w:rFonts w:ascii="Verdana" w:hAnsi="Verdana"/>
                <w:b/>
                <w:sz w:val="22"/>
                <w:szCs w:val="22"/>
                <w:lang w:val="tr-TR"/>
              </w:rPr>
              <w:t>:</w:t>
            </w:r>
          </w:p>
          <w:p w14:paraId="4E868BBE" w14:textId="0F0B8458" w:rsidR="00200D31" w:rsidRDefault="00200D31" w:rsidP="00F62A15">
            <w:pPr>
              <w:pStyle w:val="bul1"/>
              <w:numPr>
                <w:ilvl w:val="0"/>
                <w:numId w:val="6"/>
              </w:numPr>
              <w:spacing w:before="120" w:after="120" w:line="280" w:lineRule="exact"/>
              <w:contextualSpacing/>
              <w:rPr>
                <w:szCs w:val="18"/>
                <w:lang w:val="tr-TR"/>
              </w:rPr>
            </w:pPr>
            <w:r>
              <w:rPr>
                <w:lang w:val="tr-TR"/>
              </w:rPr>
              <w:t xml:space="preserve">Hazırlanan materyallerle uyumlu yazılım versiyonları yüklü </w:t>
            </w:r>
            <w:r w:rsidRPr="0056087C">
              <w:rPr>
                <w:lang w:val="tr-TR"/>
              </w:rPr>
              <w:t>olan PC</w:t>
            </w:r>
            <w:r>
              <w:rPr>
                <w:lang w:val="tr-TR"/>
              </w:rPr>
              <w:t>/Dizüstü Bilgisayar.</w:t>
            </w:r>
          </w:p>
          <w:p w14:paraId="737B8760" w14:textId="54F67C4D" w:rsidR="00E7344B" w:rsidRPr="00A76AF4" w:rsidRDefault="00200D31" w:rsidP="00F62A15">
            <w:pPr>
              <w:pStyle w:val="bul1"/>
              <w:numPr>
                <w:ilvl w:val="0"/>
                <w:numId w:val="6"/>
              </w:numPr>
              <w:spacing w:before="120" w:after="120" w:line="280" w:lineRule="exact"/>
              <w:contextualSpacing/>
              <w:rPr>
                <w:szCs w:val="18"/>
                <w:lang w:val="tr-TR"/>
              </w:rPr>
            </w:pPr>
            <w:r w:rsidRPr="0056087C">
              <w:rPr>
                <w:lang w:val="tr-TR"/>
              </w:rPr>
              <w:t>Projektör ve perde</w:t>
            </w:r>
            <w:r>
              <w:rPr>
                <w:lang w:val="tr-TR"/>
              </w:rPr>
              <w:t>.</w:t>
            </w:r>
          </w:p>
          <w:p w14:paraId="65055340" w14:textId="7DE2D4EE" w:rsidR="00E7344B" w:rsidRPr="00A76AF4" w:rsidRDefault="00200D31" w:rsidP="00F62A15">
            <w:pPr>
              <w:pStyle w:val="bul1"/>
              <w:numPr>
                <w:ilvl w:val="0"/>
                <w:numId w:val="6"/>
              </w:numPr>
              <w:spacing w:before="120" w:after="120" w:line="280" w:lineRule="exact"/>
              <w:contextualSpacing/>
              <w:rPr>
                <w:szCs w:val="18"/>
                <w:lang w:val="tr-TR"/>
              </w:rPr>
            </w:pPr>
            <w:r w:rsidRPr="0056087C">
              <w:rPr>
                <w:lang w:val="tr-TR"/>
              </w:rPr>
              <w:t>İnternet erişimi (varsa)</w:t>
            </w:r>
            <w:r>
              <w:rPr>
                <w:lang w:val="tr-TR"/>
              </w:rPr>
              <w:t>.</w:t>
            </w:r>
          </w:p>
          <w:p w14:paraId="14CF9EF0" w14:textId="2B5D4244" w:rsidR="00E7344B" w:rsidRPr="00A76AF4" w:rsidRDefault="00BF1C28" w:rsidP="00B569A5">
            <w:pPr>
              <w:pStyle w:val="bul1"/>
              <w:numPr>
                <w:ilvl w:val="0"/>
                <w:numId w:val="6"/>
              </w:numPr>
              <w:spacing w:before="120" w:after="120" w:line="280" w:lineRule="exact"/>
              <w:contextualSpacing/>
              <w:rPr>
                <w:i/>
                <w:szCs w:val="18"/>
                <w:lang w:val="tr-TR"/>
              </w:rPr>
            </w:pPr>
            <w:r>
              <w:rPr>
                <w:bCs/>
                <w:szCs w:val="18"/>
                <w:lang w:val="tr-TR"/>
              </w:rPr>
              <w:t>Öğrenci not kâ</w:t>
            </w:r>
            <w:r w:rsidR="00200D31" w:rsidRPr="0056087C">
              <w:rPr>
                <w:bCs/>
                <w:szCs w:val="18"/>
                <w:lang w:val="tr-TR"/>
              </w:rPr>
              <w:t>ğıdı ve kalemler</w:t>
            </w:r>
            <w:r w:rsidR="00200D31">
              <w:rPr>
                <w:bCs/>
                <w:szCs w:val="18"/>
                <w:lang w:val="tr-TR"/>
              </w:rPr>
              <w:t>.</w:t>
            </w:r>
          </w:p>
        </w:tc>
      </w:tr>
      <w:tr w:rsidR="003406F3" w:rsidRPr="00A76AF4" w14:paraId="635F2EFD" w14:textId="77777777" w:rsidTr="00431479">
        <w:trPr>
          <w:trHeight w:val="1241"/>
        </w:trPr>
        <w:tc>
          <w:tcPr>
            <w:tcW w:w="9010" w:type="dxa"/>
            <w:gridSpan w:val="3"/>
            <w:vAlign w:val="center"/>
          </w:tcPr>
          <w:p w14:paraId="34602AF3" w14:textId="68D51D30" w:rsidR="00A03CF0" w:rsidRPr="00A76AF4" w:rsidRDefault="00200D31" w:rsidP="00F62A15">
            <w:pPr>
              <w:spacing w:before="120" w:after="120" w:line="280" w:lineRule="exact"/>
              <w:rPr>
                <w:rFonts w:ascii="Verdana" w:hAnsi="Verdana"/>
                <w:b/>
                <w:sz w:val="22"/>
                <w:szCs w:val="22"/>
                <w:lang w:val="tr-TR"/>
              </w:rPr>
            </w:pPr>
            <w:r>
              <w:rPr>
                <w:rFonts w:ascii="Verdana" w:hAnsi="Verdana"/>
                <w:b/>
                <w:sz w:val="22"/>
                <w:szCs w:val="22"/>
                <w:lang w:val="tr-TR"/>
              </w:rPr>
              <w:t>Oturumun Amacı</w:t>
            </w:r>
            <w:r w:rsidR="00A03CF0" w:rsidRPr="00A76AF4">
              <w:rPr>
                <w:rFonts w:ascii="Verdana" w:hAnsi="Verdana"/>
                <w:b/>
                <w:sz w:val="22"/>
                <w:szCs w:val="22"/>
                <w:lang w:val="tr-TR"/>
              </w:rPr>
              <w:t xml:space="preserve">:  </w:t>
            </w:r>
          </w:p>
          <w:p w14:paraId="3FE58655" w14:textId="46D6CDF9" w:rsidR="00A03CF0" w:rsidRPr="00200D31" w:rsidRDefault="00200D31" w:rsidP="00105271">
            <w:pPr>
              <w:spacing w:before="120" w:after="120" w:line="280" w:lineRule="exact"/>
              <w:jc w:val="both"/>
              <w:rPr>
                <w:rFonts w:ascii="Verdana" w:hAnsi="Verdana"/>
                <w:sz w:val="18"/>
                <w:szCs w:val="18"/>
                <w:lang w:val="tr-TR"/>
              </w:rPr>
            </w:pPr>
            <w:r w:rsidRPr="00200D31">
              <w:rPr>
                <w:rFonts w:ascii="Verdana" w:hAnsi="Verdana"/>
                <w:sz w:val="18"/>
                <w:szCs w:val="18"/>
                <w:lang w:val="tr-TR"/>
              </w:rPr>
              <w:t xml:space="preserve">Bu oturumun genel amacı katılımcılara bilgisayar verilerinin ve sistemlerinin gizliliğine, bütünlüğüne ve erişilebilirliğine yönelik suçlar, bilgisayarla bağlantılı suçlar, içerikle bağlantılı suçlar ve telif hakkı ve bununla bağlantılı hakların ihlaline ilişkin suçlar da dahil olmak üzere maddi siber suç hukukuna ilişkin kapsamlı bir anlayış sunmaktır. </w:t>
            </w:r>
          </w:p>
        </w:tc>
      </w:tr>
      <w:tr w:rsidR="003406F3" w:rsidRPr="00A76AF4" w14:paraId="1B5A80A7" w14:textId="77777777" w:rsidTr="00431479">
        <w:trPr>
          <w:trHeight w:val="2240"/>
        </w:trPr>
        <w:tc>
          <w:tcPr>
            <w:tcW w:w="9010" w:type="dxa"/>
            <w:gridSpan w:val="3"/>
            <w:vAlign w:val="center"/>
          </w:tcPr>
          <w:p w14:paraId="559A7E05" w14:textId="38AC20B1" w:rsidR="00A03CF0" w:rsidRPr="00A76AF4" w:rsidRDefault="00200D31" w:rsidP="00F62A15">
            <w:pPr>
              <w:spacing w:before="120" w:after="120" w:line="280" w:lineRule="exact"/>
              <w:contextualSpacing/>
              <w:rPr>
                <w:rFonts w:ascii="Verdana" w:hAnsi="Verdana"/>
                <w:b/>
                <w:sz w:val="22"/>
                <w:szCs w:val="22"/>
                <w:lang w:val="tr-TR"/>
              </w:rPr>
            </w:pPr>
            <w:r>
              <w:rPr>
                <w:rFonts w:ascii="Verdana" w:hAnsi="Verdana"/>
                <w:b/>
                <w:sz w:val="22"/>
                <w:szCs w:val="22"/>
                <w:lang w:val="tr-TR"/>
              </w:rPr>
              <w:t>Hedefler</w:t>
            </w:r>
            <w:r w:rsidR="00271010" w:rsidRPr="00A76AF4">
              <w:rPr>
                <w:rFonts w:ascii="Verdana" w:hAnsi="Verdana"/>
                <w:b/>
                <w:sz w:val="22"/>
                <w:szCs w:val="22"/>
                <w:lang w:val="tr-TR"/>
              </w:rPr>
              <w:t>:</w:t>
            </w:r>
          </w:p>
          <w:p w14:paraId="11B82FC8" w14:textId="142EBC10" w:rsidR="00514A1A" w:rsidRPr="00A76AF4" w:rsidRDefault="00200D31" w:rsidP="00514A1A">
            <w:pPr>
              <w:tabs>
                <w:tab w:val="left" w:pos="426"/>
                <w:tab w:val="left" w:pos="851"/>
              </w:tabs>
              <w:spacing w:before="120" w:after="120" w:line="280" w:lineRule="exact"/>
              <w:contextualSpacing/>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Bu dersin sonunda öğrenciler</w:t>
            </w:r>
            <w:r w:rsidR="005703B7" w:rsidRPr="00A76AF4">
              <w:rPr>
                <w:rFonts w:ascii="Verdana" w:eastAsia="Times New Roman" w:hAnsi="Verdana" w:cs="Times New Roman"/>
                <w:sz w:val="18"/>
                <w:szCs w:val="18"/>
                <w:lang w:val="tr-TR"/>
              </w:rPr>
              <w:t>:</w:t>
            </w:r>
          </w:p>
          <w:p w14:paraId="5FF168E2" w14:textId="65A2DA2E" w:rsidR="00200D31" w:rsidRPr="00200D31" w:rsidRDefault="00200D31" w:rsidP="00514A1A">
            <w:pPr>
              <w:pStyle w:val="ListeParagraf"/>
              <w:numPr>
                <w:ilvl w:val="0"/>
                <w:numId w:val="8"/>
              </w:numPr>
              <w:tabs>
                <w:tab w:val="left" w:pos="426"/>
                <w:tab w:val="left" w:pos="851"/>
              </w:tabs>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Budapeşte Sözleşmesi’ni esas alarak maddi ceza hukuku hükümlerini açıklayabilecek ve suçları tanımlamakta kullanılan kilit faktörleri tespit edebilecektir.</w:t>
            </w:r>
          </w:p>
          <w:p w14:paraId="7BF3FE54" w14:textId="77777777" w:rsidR="00514A1A" w:rsidRPr="00A76AF4" w:rsidRDefault="00514A1A" w:rsidP="00514A1A">
            <w:pPr>
              <w:pStyle w:val="ListeParagraf"/>
              <w:tabs>
                <w:tab w:val="left" w:pos="426"/>
                <w:tab w:val="left" w:pos="851"/>
              </w:tabs>
              <w:spacing w:before="120" w:after="120" w:line="280" w:lineRule="exact"/>
              <w:jc w:val="both"/>
              <w:rPr>
                <w:rFonts w:ascii="Verdana" w:eastAsia="Times New Roman" w:hAnsi="Verdana" w:cs="Times New Roman"/>
                <w:sz w:val="18"/>
                <w:szCs w:val="18"/>
                <w:lang w:val="tr-TR"/>
              </w:rPr>
            </w:pPr>
          </w:p>
          <w:p w14:paraId="61ABEAC5" w14:textId="62C45D42" w:rsidR="00E95703" w:rsidRPr="00200D31" w:rsidRDefault="00200D31" w:rsidP="00200D31">
            <w:pPr>
              <w:pStyle w:val="ListeParagraf"/>
              <w:numPr>
                <w:ilvl w:val="0"/>
                <w:numId w:val="8"/>
              </w:numPr>
              <w:tabs>
                <w:tab w:val="left" w:pos="426"/>
                <w:tab w:val="left" w:pos="851"/>
              </w:tabs>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 xml:space="preserve">Ulusal mevzuat ile başta Budapeşte Sözleşmesi olmak üzere uluslararası belgeler arasındaki uyumlaştırma ihtiyaçlarını ve avantajlarını analiz edebilecektir. </w:t>
            </w:r>
          </w:p>
        </w:tc>
      </w:tr>
      <w:tr w:rsidR="003406F3" w:rsidRPr="00A76AF4" w14:paraId="03110757" w14:textId="77777777" w:rsidTr="00431479">
        <w:trPr>
          <w:trHeight w:val="1475"/>
        </w:trPr>
        <w:tc>
          <w:tcPr>
            <w:tcW w:w="9010" w:type="dxa"/>
            <w:gridSpan w:val="3"/>
            <w:tcBorders>
              <w:bottom w:val="single" w:sz="4" w:space="0" w:color="auto"/>
            </w:tcBorders>
            <w:vAlign w:val="center"/>
          </w:tcPr>
          <w:p w14:paraId="7A064E85" w14:textId="0E08922F" w:rsidR="005703B7" w:rsidRPr="00A76AF4" w:rsidRDefault="00200D31" w:rsidP="00F62A15">
            <w:pPr>
              <w:spacing w:before="120" w:after="120" w:line="280" w:lineRule="exact"/>
              <w:rPr>
                <w:rFonts w:ascii="Verdana" w:hAnsi="Verdana"/>
                <w:b/>
                <w:sz w:val="22"/>
                <w:szCs w:val="22"/>
                <w:lang w:val="tr-TR"/>
              </w:rPr>
            </w:pPr>
            <w:r>
              <w:rPr>
                <w:rFonts w:ascii="Verdana" w:hAnsi="Verdana"/>
                <w:b/>
                <w:sz w:val="22"/>
                <w:szCs w:val="22"/>
                <w:lang w:val="tr-TR"/>
              </w:rPr>
              <w:t>Eğitmen Rehberi</w:t>
            </w:r>
          </w:p>
          <w:p w14:paraId="5EFF4BEF" w14:textId="1132C62F" w:rsidR="007B75A9" w:rsidRPr="00A76AF4" w:rsidRDefault="00200D31" w:rsidP="00961594">
            <w:pPr>
              <w:spacing w:before="120" w:after="120" w:line="280" w:lineRule="exact"/>
              <w:jc w:val="both"/>
              <w:rPr>
                <w:rFonts w:ascii="Verdana" w:hAnsi="Verdana"/>
                <w:sz w:val="18"/>
                <w:szCs w:val="18"/>
                <w:lang w:val="tr-TR"/>
              </w:rPr>
            </w:pPr>
            <w:r w:rsidRPr="00200D31">
              <w:rPr>
                <w:rFonts w:ascii="Verdana" w:hAnsi="Verdana"/>
                <w:sz w:val="18"/>
                <w:szCs w:val="18"/>
                <w:lang w:val="tr-TR"/>
              </w:rPr>
              <w:t>Bu otu</w:t>
            </w:r>
            <w:r>
              <w:rPr>
                <w:rFonts w:ascii="Verdana" w:hAnsi="Verdana"/>
                <w:sz w:val="18"/>
                <w:szCs w:val="18"/>
                <w:lang w:val="tr-TR"/>
              </w:rPr>
              <w:t>rum</w:t>
            </w:r>
            <w:r w:rsidRPr="00200D31">
              <w:rPr>
                <w:rFonts w:ascii="Verdana" w:hAnsi="Verdana"/>
                <w:sz w:val="18"/>
                <w:szCs w:val="18"/>
                <w:lang w:val="tr-TR"/>
              </w:rPr>
              <w:t xml:space="preserve"> katılımcılara maddi siber suç hukukuna ilişki</w:t>
            </w:r>
            <w:r>
              <w:rPr>
                <w:rFonts w:ascii="Verdana" w:hAnsi="Verdana"/>
                <w:sz w:val="18"/>
                <w:szCs w:val="18"/>
                <w:lang w:val="tr-TR"/>
              </w:rPr>
              <w:t>n kapsamlı bir anlayış sunmak amacıyla hazırlanmıştır. Oturum giriş ve sonuç kısımlarının yanı sıra üç bölüme ayrılmıştır. Oturumun birinci bölümü Siber Suçlara ilişkin Budapeşte Sözleşmesi’ndeki maddi cürümlerle ilgilidir. Bu slaytlarda Siber Suçlara ilişkin Budapeşte Sözleşmesi’nin 1. Kısım 2. Bölümünde yer alan her bir cürüm metni</w:t>
            </w:r>
            <w:r w:rsidR="00854CBB">
              <w:rPr>
                <w:rFonts w:ascii="Verdana" w:hAnsi="Verdana"/>
                <w:sz w:val="18"/>
                <w:szCs w:val="18"/>
                <w:lang w:val="tr-TR"/>
              </w:rPr>
              <w:t xml:space="preserve">nin yanı sıra, her bir maddedeki her bir unsur da ayrıntılarıyla açıklanmaktadır. Oturumun ikinci bölümü ulusal mevzuat kapsamındaki maddi cürümleri içermektedir. Son olarak üçüncü bölümde oturum boyunca kapsanan materyallerle ilgili vaka çalışmaları yer almaktadır. </w:t>
            </w:r>
          </w:p>
        </w:tc>
      </w:tr>
      <w:tr w:rsidR="003406F3" w:rsidRPr="00A76AF4" w14:paraId="7760520D" w14:textId="77777777" w:rsidTr="00431479">
        <w:trPr>
          <w:trHeight w:val="701"/>
        </w:trPr>
        <w:tc>
          <w:tcPr>
            <w:tcW w:w="9010" w:type="dxa"/>
            <w:gridSpan w:val="3"/>
            <w:tcBorders>
              <w:bottom w:val="single" w:sz="4" w:space="0" w:color="auto"/>
            </w:tcBorders>
            <w:shd w:val="clear" w:color="auto" w:fill="D9E2F3" w:themeFill="accent1" w:themeFillTint="33"/>
            <w:vAlign w:val="center"/>
          </w:tcPr>
          <w:p w14:paraId="3F533D38" w14:textId="73625A67" w:rsidR="005A4E47" w:rsidRPr="00A76AF4" w:rsidRDefault="00854CBB" w:rsidP="00854CBB">
            <w:pPr>
              <w:rPr>
                <w:rFonts w:ascii="Verdana" w:hAnsi="Verdana"/>
                <w:b/>
                <w:sz w:val="28"/>
                <w:szCs w:val="28"/>
                <w:lang w:val="tr-TR"/>
              </w:rPr>
            </w:pPr>
            <w:r>
              <w:rPr>
                <w:rFonts w:ascii="Verdana" w:hAnsi="Verdana"/>
                <w:b/>
                <w:sz w:val="28"/>
                <w:szCs w:val="28"/>
                <w:lang w:val="tr-TR"/>
              </w:rPr>
              <w:t>Ders</w:t>
            </w:r>
            <w:r w:rsidR="005A4E47" w:rsidRPr="00A76AF4">
              <w:rPr>
                <w:rFonts w:ascii="Verdana" w:hAnsi="Verdana"/>
                <w:b/>
                <w:sz w:val="28"/>
                <w:szCs w:val="28"/>
                <w:lang w:val="tr-TR"/>
              </w:rPr>
              <w:t xml:space="preserve"> </w:t>
            </w:r>
            <w:r>
              <w:rPr>
                <w:rFonts w:ascii="Verdana" w:hAnsi="Verdana"/>
                <w:b/>
                <w:sz w:val="28"/>
                <w:szCs w:val="28"/>
                <w:lang w:val="tr-TR"/>
              </w:rPr>
              <w:t>İçeriği</w:t>
            </w:r>
          </w:p>
        </w:tc>
      </w:tr>
      <w:tr w:rsidR="003406F3" w:rsidRPr="00A76AF4" w14:paraId="57CC7AA4" w14:textId="77777777" w:rsidTr="00431479">
        <w:trPr>
          <w:trHeight w:val="629"/>
        </w:trPr>
        <w:tc>
          <w:tcPr>
            <w:tcW w:w="1615" w:type="dxa"/>
            <w:shd w:val="clear" w:color="auto" w:fill="D9E2F3" w:themeFill="accent1" w:themeFillTint="33"/>
            <w:vAlign w:val="center"/>
          </w:tcPr>
          <w:p w14:paraId="4538C338" w14:textId="0653114F" w:rsidR="00D82C18" w:rsidRPr="00A76AF4" w:rsidRDefault="00854CBB" w:rsidP="00CB3026">
            <w:pPr>
              <w:jc w:val="center"/>
              <w:rPr>
                <w:rFonts w:ascii="Verdana" w:hAnsi="Verdana"/>
                <w:b/>
                <w:sz w:val="22"/>
                <w:szCs w:val="22"/>
                <w:lang w:val="tr-TR"/>
              </w:rPr>
            </w:pPr>
            <w:r>
              <w:rPr>
                <w:rFonts w:ascii="Verdana" w:hAnsi="Verdana"/>
                <w:b/>
                <w:sz w:val="22"/>
                <w:szCs w:val="22"/>
                <w:lang w:val="tr-TR"/>
              </w:rPr>
              <w:t>Slayt Numaraları</w:t>
            </w:r>
          </w:p>
        </w:tc>
        <w:tc>
          <w:tcPr>
            <w:tcW w:w="7395" w:type="dxa"/>
            <w:gridSpan w:val="2"/>
            <w:shd w:val="clear" w:color="auto" w:fill="D9E2F3" w:themeFill="accent1" w:themeFillTint="33"/>
            <w:vAlign w:val="center"/>
          </w:tcPr>
          <w:p w14:paraId="2DA616FC" w14:textId="13361464" w:rsidR="00D82C18" w:rsidRPr="00A76AF4" w:rsidRDefault="00854CBB">
            <w:pPr>
              <w:rPr>
                <w:rFonts w:ascii="Verdana" w:hAnsi="Verdana"/>
                <w:b/>
                <w:sz w:val="22"/>
                <w:szCs w:val="22"/>
                <w:lang w:val="tr-TR"/>
              </w:rPr>
            </w:pPr>
            <w:r>
              <w:rPr>
                <w:rFonts w:ascii="Verdana" w:hAnsi="Verdana"/>
                <w:b/>
                <w:sz w:val="22"/>
                <w:szCs w:val="22"/>
                <w:lang w:val="tr-TR"/>
              </w:rPr>
              <w:t>İçerik</w:t>
            </w:r>
          </w:p>
        </w:tc>
      </w:tr>
      <w:tr w:rsidR="003406F3" w:rsidRPr="00A76AF4" w14:paraId="11A12D7E" w14:textId="77777777" w:rsidTr="00431479">
        <w:tc>
          <w:tcPr>
            <w:tcW w:w="1615" w:type="dxa"/>
            <w:vAlign w:val="center"/>
          </w:tcPr>
          <w:p w14:paraId="5A89CF27" w14:textId="7F84CAF6" w:rsidR="00D82C18" w:rsidRPr="00A76AF4" w:rsidRDefault="003630ED" w:rsidP="00854CBB">
            <w:pPr>
              <w:spacing w:before="120" w:after="120" w:line="280" w:lineRule="exact"/>
              <w:jc w:val="center"/>
              <w:rPr>
                <w:rFonts w:ascii="Verdana" w:hAnsi="Verdana"/>
                <w:sz w:val="18"/>
                <w:szCs w:val="18"/>
                <w:lang w:val="tr-TR"/>
              </w:rPr>
            </w:pPr>
            <w:proofErr w:type="gramStart"/>
            <w:r w:rsidRPr="00A76AF4">
              <w:rPr>
                <w:rFonts w:ascii="Verdana" w:hAnsi="Verdana"/>
                <w:sz w:val="18"/>
                <w:szCs w:val="18"/>
                <w:lang w:val="tr-TR"/>
              </w:rPr>
              <w:t xml:space="preserve">1 </w:t>
            </w:r>
            <w:r w:rsidR="00854CBB">
              <w:rPr>
                <w:rFonts w:ascii="Verdana" w:hAnsi="Verdana"/>
                <w:sz w:val="18"/>
                <w:szCs w:val="18"/>
                <w:lang w:val="tr-TR"/>
              </w:rPr>
              <w:t>-</w:t>
            </w:r>
            <w:proofErr w:type="gramEnd"/>
            <w:r w:rsidRPr="00A76AF4">
              <w:rPr>
                <w:rFonts w:ascii="Verdana" w:hAnsi="Verdana"/>
                <w:sz w:val="18"/>
                <w:szCs w:val="18"/>
                <w:lang w:val="tr-TR"/>
              </w:rPr>
              <w:t xml:space="preserve"> </w:t>
            </w:r>
            <w:r w:rsidR="00C32641" w:rsidRPr="00A76AF4">
              <w:rPr>
                <w:rFonts w:ascii="Verdana" w:hAnsi="Verdana"/>
                <w:sz w:val="18"/>
                <w:szCs w:val="18"/>
                <w:lang w:val="tr-TR"/>
              </w:rPr>
              <w:t>3</w:t>
            </w:r>
          </w:p>
        </w:tc>
        <w:tc>
          <w:tcPr>
            <w:tcW w:w="7395" w:type="dxa"/>
            <w:gridSpan w:val="2"/>
            <w:vAlign w:val="center"/>
          </w:tcPr>
          <w:p w14:paraId="36345B59" w14:textId="7CF0816D" w:rsidR="003630ED" w:rsidRPr="000C0868" w:rsidRDefault="002216F0" w:rsidP="00AF62EC">
            <w:pPr>
              <w:tabs>
                <w:tab w:val="left" w:pos="426"/>
                <w:tab w:val="left" w:pos="851"/>
              </w:tabs>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 xml:space="preserve">İlk slaytlar bu oturumun yapısını ve hedeflerini </w:t>
            </w:r>
            <w:r w:rsidR="000C0868">
              <w:rPr>
                <w:rFonts w:ascii="Verdana" w:eastAsia="Times New Roman" w:hAnsi="Verdana" w:cs="Times New Roman"/>
                <w:sz w:val="18"/>
                <w:szCs w:val="18"/>
                <w:lang w:val="tr-TR"/>
              </w:rPr>
              <w:t>ortaya koymaktadır. Katılımcılara oturumun yapısı ve hedefleri hakkında sormak isteyebilecekleri her türlü ön soruyu sorma imkânı verilecektir.</w:t>
            </w:r>
          </w:p>
        </w:tc>
      </w:tr>
      <w:tr w:rsidR="003406F3" w:rsidRPr="00A76AF4" w14:paraId="65F07CB5" w14:textId="77777777" w:rsidTr="00431479">
        <w:trPr>
          <w:trHeight w:val="3158"/>
        </w:trPr>
        <w:tc>
          <w:tcPr>
            <w:tcW w:w="1615" w:type="dxa"/>
            <w:vAlign w:val="center"/>
          </w:tcPr>
          <w:p w14:paraId="6F5AEB2D" w14:textId="4C523827" w:rsidR="00D82C18" w:rsidRPr="00A76AF4" w:rsidRDefault="00C32641" w:rsidP="00431479">
            <w:pPr>
              <w:jc w:val="center"/>
              <w:rPr>
                <w:rFonts w:ascii="Verdana" w:hAnsi="Verdana"/>
                <w:sz w:val="18"/>
                <w:szCs w:val="18"/>
                <w:lang w:val="tr-TR"/>
              </w:rPr>
            </w:pPr>
            <w:proofErr w:type="gramStart"/>
            <w:r w:rsidRPr="00A76AF4">
              <w:rPr>
                <w:rFonts w:ascii="Verdana" w:hAnsi="Verdana"/>
                <w:sz w:val="18"/>
                <w:szCs w:val="18"/>
                <w:lang w:val="tr-TR"/>
              </w:rPr>
              <w:lastRenderedPageBreak/>
              <w:t xml:space="preserve">4 </w:t>
            </w:r>
            <w:r w:rsidR="00431479">
              <w:rPr>
                <w:rFonts w:ascii="Verdana" w:hAnsi="Verdana"/>
                <w:sz w:val="18"/>
                <w:szCs w:val="18"/>
                <w:lang w:val="tr-TR"/>
              </w:rPr>
              <w:t>-</w:t>
            </w:r>
            <w:proofErr w:type="gramEnd"/>
            <w:r w:rsidRPr="00A76AF4">
              <w:rPr>
                <w:rFonts w:ascii="Verdana" w:hAnsi="Verdana"/>
                <w:sz w:val="18"/>
                <w:szCs w:val="18"/>
                <w:lang w:val="tr-TR"/>
              </w:rPr>
              <w:t xml:space="preserve"> 11</w:t>
            </w:r>
            <w:r w:rsidR="007A7B53" w:rsidRPr="00A76AF4">
              <w:rPr>
                <w:rFonts w:ascii="Verdana" w:hAnsi="Verdana"/>
                <w:sz w:val="18"/>
                <w:szCs w:val="18"/>
                <w:lang w:val="tr-TR"/>
              </w:rPr>
              <w:t>5</w:t>
            </w:r>
          </w:p>
        </w:tc>
        <w:tc>
          <w:tcPr>
            <w:tcW w:w="7395" w:type="dxa"/>
            <w:gridSpan w:val="2"/>
            <w:vAlign w:val="center"/>
          </w:tcPr>
          <w:p w14:paraId="31A23580" w14:textId="180EED62" w:rsidR="000C0868" w:rsidRDefault="000C0868" w:rsidP="00431479">
            <w:pPr>
              <w:pStyle w:val="Altyaz"/>
              <w:spacing w:beforeLines="20" w:before="48" w:line="280" w:lineRule="exact"/>
              <w:rPr>
                <w:rFonts w:ascii="Verdana" w:eastAsia="Times New Roman" w:hAnsi="Verdana"/>
                <w:color w:val="auto"/>
                <w:szCs w:val="18"/>
                <w:lang w:val="tr-TR"/>
              </w:rPr>
            </w:pPr>
            <w:r>
              <w:rPr>
                <w:rFonts w:ascii="Verdana" w:eastAsia="Times New Roman" w:hAnsi="Verdana"/>
                <w:color w:val="auto"/>
                <w:szCs w:val="18"/>
                <w:lang w:val="tr-TR"/>
              </w:rPr>
              <w:t xml:space="preserve">Bu bölüm </w:t>
            </w:r>
            <w:r>
              <w:rPr>
                <w:rFonts w:ascii="Verdana" w:hAnsi="Verdana"/>
                <w:szCs w:val="18"/>
                <w:lang w:val="tr-TR"/>
              </w:rPr>
              <w:t xml:space="preserve">Budapeşte Sözleşmesi’nin 1. Kısım II. Bölümünde yer alan </w:t>
            </w:r>
            <w:r w:rsidR="00431479">
              <w:rPr>
                <w:rFonts w:ascii="Verdana" w:hAnsi="Verdana"/>
                <w:szCs w:val="18"/>
                <w:lang w:val="tr-TR"/>
              </w:rPr>
              <w:t xml:space="preserve">maddi suç hükümlerini içermektedir. Bu bölümdeki slaytlar dört alt-bölüme ayrılmaktadır: </w:t>
            </w:r>
          </w:p>
          <w:p w14:paraId="4DDA8DF4" w14:textId="0FDC9D0E" w:rsidR="0021755F" w:rsidRPr="00A76AF4" w:rsidRDefault="0021755F" w:rsidP="007A7B53">
            <w:pPr>
              <w:pStyle w:val="Altyaz"/>
              <w:spacing w:before="4" w:afterLines="24" w:after="57"/>
              <w:rPr>
                <w:rFonts w:ascii="Verdana" w:hAnsi="Verdana"/>
                <w:szCs w:val="18"/>
                <w:lang w:val="tr-TR"/>
              </w:rPr>
            </w:pPr>
            <w:r w:rsidRPr="00A76AF4">
              <w:rPr>
                <w:rFonts w:ascii="Verdana" w:hAnsi="Verdana"/>
                <w:szCs w:val="18"/>
                <w:lang w:val="tr-TR"/>
              </w:rPr>
              <w:t xml:space="preserve">1. </w:t>
            </w:r>
            <w:r w:rsidR="00431479">
              <w:rPr>
                <w:rFonts w:ascii="Verdana" w:hAnsi="Verdana"/>
                <w:szCs w:val="18"/>
                <w:lang w:val="tr-TR"/>
              </w:rPr>
              <w:t>B</w:t>
            </w:r>
            <w:r w:rsidR="00431479" w:rsidRPr="00200D31">
              <w:rPr>
                <w:rFonts w:ascii="Verdana" w:hAnsi="Verdana"/>
                <w:szCs w:val="18"/>
                <w:lang w:val="tr-TR"/>
              </w:rPr>
              <w:t>ilgisayar verilerinin ve sistemlerinin gizliliğine, bütünlüğüne ve erişilebilirliğine yönelik suçlar</w:t>
            </w:r>
          </w:p>
          <w:p w14:paraId="49003521" w14:textId="2898D744"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a. </w:t>
            </w:r>
            <w:r w:rsidR="00431479">
              <w:rPr>
                <w:rFonts w:ascii="Verdana" w:hAnsi="Verdana"/>
                <w:sz w:val="18"/>
                <w:szCs w:val="18"/>
                <w:lang w:val="tr-TR"/>
              </w:rPr>
              <w:t xml:space="preserve">Yasadışı erişim </w:t>
            </w:r>
            <w:r w:rsidRPr="00A76AF4">
              <w:rPr>
                <w:rFonts w:ascii="Verdana" w:hAnsi="Verdana"/>
                <w:sz w:val="18"/>
                <w:szCs w:val="18"/>
                <w:lang w:val="tr-TR"/>
              </w:rPr>
              <w:t>(2</w:t>
            </w:r>
            <w:r w:rsidR="00431479">
              <w:rPr>
                <w:rFonts w:ascii="Verdana" w:hAnsi="Verdana"/>
                <w:sz w:val="18"/>
                <w:szCs w:val="18"/>
                <w:lang w:val="tr-TR"/>
              </w:rPr>
              <w:t>. madde</w:t>
            </w:r>
            <w:r w:rsidRPr="00A76AF4">
              <w:rPr>
                <w:rFonts w:ascii="Verdana" w:hAnsi="Verdana"/>
                <w:sz w:val="18"/>
                <w:szCs w:val="18"/>
                <w:lang w:val="tr-TR"/>
              </w:rPr>
              <w:t xml:space="preserve">) </w:t>
            </w:r>
          </w:p>
          <w:p w14:paraId="16D6A0C9" w14:textId="77BFE481"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b. </w:t>
            </w:r>
            <w:r w:rsidR="00431479">
              <w:rPr>
                <w:rFonts w:ascii="Verdana" w:hAnsi="Verdana"/>
                <w:sz w:val="18"/>
                <w:szCs w:val="18"/>
                <w:lang w:val="tr-TR"/>
              </w:rPr>
              <w:t xml:space="preserve">Yasadışı </w:t>
            </w:r>
            <w:r w:rsidR="00C5141A">
              <w:rPr>
                <w:rFonts w:ascii="Verdana" w:hAnsi="Verdana"/>
                <w:sz w:val="18"/>
                <w:szCs w:val="18"/>
                <w:lang w:val="tr-TR"/>
              </w:rPr>
              <w:t xml:space="preserve">ele geçirme </w:t>
            </w:r>
            <w:r w:rsidRPr="00A76AF4">
              <w:rPr>
                <w:rFonts w:ascii="Verdana" w:hAnsi="Verdana"/>
                <w:sz w:val="18"/>
                <w:szCs w:val="18"/>
                <w:lang w:val="tr-TR"/>
              </w:rPr>
              <w:t>(3</w:t>
            </w:r>
            <w:r w:rsidR="00431479">
              <w:rPr>
                <w:rFonts w:ascii="Verdana" w:hAnsi="Verdana"/>
                <w:sz w:val="18"/>
                <w:szCs w:val="18"/>
                <w:lang w:val="tr-TR"/>
              </w:rPr>
              <w:t>. madde</w:t>
            </w:r>
            <w:r w:rsidRPr="00A76AF4">
              <w:rPr>
                <w:rFonts w:ascii="Verdana" w:hAnsi="Verdana"/>
                <w:sz w:val="18"/>
                <w:szCs w:val="18"/>
                <w:lang w:val="tr-TR"/>
              </w:rPr>
              <w:t>)</w:t>
            </w:r>
          </w:p>
          <w:p w14:paraId="111130C6" w14:textId="34E50469"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c. </w:t>
            </w:r>
            <w:r w:rsidR="00431479">
              <w:rPr>
                <w:rFonts w:ascii="Verdana" w:hAnsi="Verdana"/>
                <w:sz w:val="18"/>
                <w:szCs w:val="18"/>
                <w:lang w:val="tr-TR"/>
              </w:rPr>
              <w:t>Veri</w:t>
            </w:r>
            <w:r w:rsidR="000D00E9">
              <w:rPr>
                <w:rFonts w:ascii="Verdana" w:hAnsi="Verdana"/>
                <w:sz w:val="18"/>
                <w:szCs w:val="18"/>
                <w:lang w:val="tr-TR"/>
              </w:rPr>
              <w:t>lere müdahale</w:t>
            </w:r>
            <w:r w:rsidRPr="00A76AF4">
              <w:rPr>
                <w:rFonts w:ascii="Verdana" w:hAnsi="Verdana"/>
                <w:sz w:val="18"/>
                <w:szCs w:val="18"/>
                <w:lang w:val="tr-TR"/>
              </w:rPr>
              <w:t xml:space="preserve"> (4</w:t>
            </w:r>
            <w:r w:rsidR="00431479">
              <w:rPr>
                <w:rFonts w:ascii="Verdana" w:hAnsi="Verdana"/>
                <w:sz w:val="18"/>
                <w:szCs w:val="18"/>
                <w:lang w:val="tr-TR"/>
              </w:rPr>
              <w:t>. madde</w:t>
            </w:r>
            <w:r w:rsidRPr="00A76AF4">
              <w:rPr>
                <w:rFonts w:ascii="Verdana" w:hAnsi="Verdana"/>
                <w:sz w:val="18"/>
                <w:szCs w:val="18"/>
                <w:lang w:val="tr-TR"/>
              </w:rPr>
              <w:t>)</w:t>
            </w:r>
          </w:p>
          <w:p w14:paraId="3034922B" w14:textId="596EF556"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d. </w:t>
            </w:r>
            <w:r w:rsidR="00B22AD0">
              <w:rPr>
                <w:rFonts w:ascii="Verdana" w:hAnsi="Verdana"/>
                <w:sz w:val="18"/>
                <w:szCs w:val="18"/>
                <w:lang w:val="tr-TR"/>
              </w:rPr>
              <w:t>Sisteme müdahale</w:t>
            </w:r>
            <w:r w:rsidRPr="00A76AF4">
              <w:rPr>
                <w:rFonts w:ascii="Verdana" w:hAnsi="Verdana"/>
                <w:sz w:val="18"/>
                <w:szCs w:val="18"/>
                <w:lang w:val="tr-TR"/>
              </w:rPr>
              <w:t xml:space="preserve"> (5</w:t>
            </w:r>
            <w:r w:rsidR="00431479">
              <w:rPr>
                <w:rFonts w:ascii="Verdana" w:hAnsi="Verdana"/>
                <w:sz w:val="18"/>
                <w:szCs w:val="18"/>
                <w:lang w:val="tr-TR"/>
              </w:rPr>
              <w:t>. madde</w:t>
            </w:r>
            <w:r w:rsidRPr="00A76AF4">
              <w:rPr>
                <w:rFonts w:ascii="Verdana" w:hAnsi="Verdana"/>
                <w:sz w:val="18"/>
                <w:szCs w:val="18"/>
                <w:lang w:val="tr-TR"/>
              </w:rPr>
              <w:t>)</w:t>
            </w:r>
          </w:p>
          <w:p w14:paraId="620087D1" w14:textId="577E2CBD"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e. </w:t>
            </w:r>
            <w:r w:rsidR="00B22AD0">
              <w:rPr>
                <w:rFonts w:ascii="Verdana" w:hAnsi="Verdana"/>
                <w:sz w:val="18"/>
                <w:szCs w:val="18"/>
                <w:lang w:val="tr-TR"/>
              </w:rPr>
              <w:t xml:space="preserve">Cihazların kötüye kullanımı </w:t>
            </w:r>
            <w:r w:rsidRPr="00A76AF4">
              <w:rPr>
                <w:rFonts w:ascii="Verdana" w:hAnsi="Verdana"/>
                <w:sz w:val="18"/>
                <w:szCs w:val="18"/>
                <w:lang w:val="tr-TR"/>
              </w:rPr>
              <w:t>(6</w:t>
            </w:r>
            <w:r w:rsidR="00431479">
              <w:rPr>
                <w:rFonts w:ascii="Verdana" w:hAnsi="Verdana"/>
                <w:sz w:val="18"/>
                <w:szCs w:val="18"/>
                <w:lang w:val="tr-TR"/>
              </w:rPr>
              <w:t>. madde</w:t>
            </w:r>
            <w:r w:rsidRPr="00A76AF4">
              <w:rPr>
                <w:rFonts w:ascii="Verdana" w:hAnsi="Verdana"/>
                <w:sz w:val="18"/>
                <w:szCs w:val="18"/>
                <w:lang w:val="tr-TR"/>
              </w:rPr>
              <w:t>)</w:t>
            </w:r>
          </w:p>
          <w:p w14:paraId="1EDD77F5" w14:textId="011EF81E" w:rsidR="0021755F" w:rsidRPr="00A76AF4" w:rsidRDefault="0021755F" w:rsidP="007A7B53">
            <w:pPr>
              <w:pStyle w:val="Altyaz"/>
              <w:spacing w:before="4" w:afterLines="24" w:after="57"/>
              <w:rPr>
                <w:rFonts w:ascii="Verdana" w:hAnsi="Verdana"/>
                <w:szCs w:val="18"/>
                <w:lang w:val="tr-TR"/>
              </w:rPr>
            </w:pPr>
            <w:r w:rsidRPr="00A76AF4">
              <w:rPr>
                <w:rFonts w:ascii="Verdana" w:hAnsi="Verdana"/>
                <w:szCs w:val="18"/>
                <w:lang w:val="tr-TR"/>
              </w:rPr>
              <w:t xml:space="preserve">2. </w:t>
            </w:r>
            <w:r w:rsidR="00431479">
              <w:rPr>
                <w:rFonts w:ascii="Verdana" w:hAnsi="Verdana"/>
                <w:szCs w:val="18"/>
                <w:lang w:val="tr-TR"/>
              </w:rPr>
              <w:t>B</w:t>
            </w:r>
            <w:r w:rsidR="00431479" w:rsidRPr="00200D31">
              <w:rPr>
                <w:rFonts w:ascii="Verdana" w:hAnsi="Verdana"/>
                <w:szCs w:val="18"/>
                <w:lang w:val="tr-TR"/>
              </w:rPr>
              <w:t>ilgisayarla bağlantılı suçlar</w:t>
            </w:r>
          </w:p>
          <w:p w14:paraId="6FF4FF58" w14:textId="3D4B0E3D"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a. </w:t>
            </w:r>
            <w:r w:rsidR="00FA75BA" w:rsidRPr="00FA75BA">
              <w:rPr>
                <w:rFonts w:ascii="Verdana" w:hAnsi="Verdana"/>
                <w:sz w:val="18"/>
                <w:szCs w:val="18"/>
                <w:lang w:val="tr-TR"/>
              </w:rPr>
              <w:t>B</w:t>
            </w:r>
            <w:r w:rsidR="00AF2715" w:rsidRPr="00200D31">
              <w:rPr>
                <w:rFonts w:ascii="Verdana" w:hAnsi="Verdana"/>
                <w:sz w:val="18"/>
                <w:szCs w:val="18"/>
                <w:lang w:val="tr-TR"/>
              </w:rPr>
              <w:t xml:space="preserve">ilgisayarla bağlantılı </w:t>
            </w:r>
            <w:r w:rsidR="00AF2715">
              <w:rPr>
                <w:rFonts w:ascii="Verdana" w:hAnsi="Verdana"/>
                <w:sz w:val="18"/>
                <w:szCs w:val="18"/>
                <w:lang w:val="tr-TR"/>
              </w:rPr>
              <w:t xml:space="preserve">sahtecilik </w:t>
            </w:r>
            <w:r w:rsidRPr="00A76AF4">
              <w:rPr>
                <w:rFonts w:ascii="Verdana" w:hAnsi="Verdana"/>
                <w:sz w:val="18"/>
                <w:szCs w:val="18"/>
                <w:lang w:val="tr-TR"/>
              </w:rPr>
              <w:t>(7</w:t>
            </w:r>
            <w:r w:rsidR="00431479">
              <w:rPr>
                <w:rFonts w:ascii="Verdana" w:hAnsi="Verdana"/>
                <w:sz w:val="18"/>
                <w:szCs w:val="18"/>
                <w:lang w:val="tr-TR"/>
              </w:rPr>
              <w:t>. madde</w:t>
            </w:r>
            <w:r w:rsidRPr="00A76AF4">
              <w:rPr>
                <w:rFonts w:ascii="Verdana" w:hAnsi="Verdana"/>
                <w:sz w:val="18"/>
                <w:szCs w:val="18"/>
                <w:lang w:val="tr-TR"/>
              </w:rPr>
              <w:t>)</w:t>
            </w:r>
          </w:p>
          <w:p w14:paraId="6251764E" w14:textId="058F4539"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b. </w:t>
            </w:r>
            <w:r w:rsidR="00FA75BA" w:rsidRPr="00FA75BA">
              <w:rPr>
                <w:rFonts w:ascii="Verdana" w:hAnsi="Verdana"/>
                <w:sz w:val="18"/>
                <w:szCs w:val="18"/>
                <w:lang w:val="tr-TR"/>
              </w:rPr>
              <w:t>B</w:t>
            </w:r>
            <w:r w:rsidR="00FA75BA" w:rsidRPr="00200D31">
              <w:rPr>
                <w:rFonts w:ascii="Verdana" w:hAnsi="Verdana"/>
                <w:sz w:val="18"/>
                <w:szCs w:val="18"/>
                <w:lang w:val="tr-TR"/>
              </w:rPr>
              <w:t xml:space="preserve">ilgisayarla bağlantılı </w:t>
            </w:r>
            <w:r w:rsidR="00FA75BA">
              <w:rPr>
                <w:rFonts w:ascii="Verdana" w:hAnsi="Verdana"/>
                <w:sz w:val="18"/>
                <w:szCs w:val="18"/>
                <w:lang w:val="tr-TR"/>
              </w:rPr>
              <w:t xml:space="preserve">dolandırıcılık </w:t>
            </w:r>
            <w:r w:rsidRPr="00A76AF4">
              <w:rPr>
                <w:rFonts w:ascii="Verdana" w:hAnsi="Verdana"/>
                <w:sz w:val="18"/>
                <w:szCs w:val="18"/>
                <w:lang w:val="tr-TR"/>
              </w:rPr>
              <w:t>(8</w:t>
            </w:r>
            <w:r w:rsidR="00431479">
              <w:rPr>
                <w:rFonts w:ascii="Verdana" w:hAnsi="Verdana"/>
                <w:sz w:val="18"/>
                <w:szCs w:val="18"/>
                <w:lang w:val="tr-TR"/>
              </w:rPr>
              <w:t>. madde</w:t>
            </w:r>
            <w:r w:rsidRPr="00A76AF4">
              <w:rPr>
                <w:rFonts w:ascii="Verdana" w:hAnsi="Verdana"/>
                <w:sz w:val="18"/>
                <w:szCs w:val="18"/>
                <w:lang w:val="tr-TR"/>
              </w:rPr>
              <w:t>)</w:t>
            </w:r>
          </w:p>
          <w:p w14:paraId="74518559" w14:textId="2EC6ACA3" w:rsidR="0021755F" w:rsidRPr="00A76AF4" w:rsidRDefault="0021755F" w:rsidP="007A7B53">
            <w:pPr>
              <w:pStyle w:val="Altyaz"/>
              <w:spacing w:before="4" w:afterLines="24" w:after="57"/>
              <w:rPr>
                <w:rFonts w:ascii="Verdana" w:hAnsi="Verdana"/>
                <w:szCs w:val="18"/>
                <w:lang w:val="tr-TR"/>
              </w:rPr>
            </w:pPr>
            <w:r w:rsidRPr="00A76AF4">
              <w:rPr>
                <w:rFonts w:ascii="Verdana" w:hAnsi="Verdana"/>
                <w:szCs w:val="18"/>
                <w:lang w:val="tr-TR"/>
              </w:rPr>
              <w:t xml:space="preserve">3. </w:t>
            </w:r>
            <w:r w:rsidR="00431479">
              <w:rPr>
                <w:rFonts w:ascii="Verdana" w:hAnsi="Verdana"/>
                <w:szCs w:val="18"/>
                <w:lang w:val="tr-TR"/>
              </w:rPr>
              <w:t xml:space="preserve">İçerikle </w:t>
            </w:r>
            <w:r w:rsidR="00431479" w:rsidRPr="00200D31">
              <w:rPr>
                <w:rFonts w:ascii="Verdana" w:hAnsi="Verdana"/>
                <w:szCs w:val="18"/>
                <w:lang w:val="tr-TR"/>
              </w:rPr>
              <w:t>bağlantılı suçlar</w:t>
            </w:r>
          </w:p>
          <w:p w14:paraId="72E38B4A" w14:textId="201DAB6B"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a. </w:t>
            </w:r>
            <w:r w:rsidR="00FA75BA">
              <w:rPr>
                <w:rFonts w:ascii="Verdana" w:hAnsi="Verdana"/>
                <w:sz w:val="18"/>
                <w:szCs w:val="18"/>
                <w:lang w:val="tr-TR"/>
              </w:rPr>
              <w:t xml:space="preserve">Çocuk pornografisiyle </w:t>
            </w:r>
            <w:r w:rsidR="00FA75BA" w:rsidRPr="00200D31">
              <w:rPr>
                <w:rFonts w:ascii="Verdana" w:hAnsi="Verdana"/>
                <w:sz w:val="18"/>
                <w:szCs w:val="18"/>
                <w:lang w:val="tr-TR"/>
              </w:rPr>
              <w:t>bağlantılı suçlar</w:t>
            </w:r>
            <w:r w:rsidRPr="00A76AF4">
              <w:rPr>
                <w:rFonts w:ascii="Verdana" w:hAnsi="Verdana"/>
                <w:sz w:val="18"/>
                <w:szCs w:val="18"/>
                <w:lang w:val="tr-TR"/>
              </w:rPr>
              <w:t xml:space="preserve"> </w:t>
            </w:r>
            <w:r w:rsidR="007A7B53" w:rsidRPr="00A76AF4">
              <w:rPr>
                <w:rFonts w:ascii="Verdana" w:hAnsi="Verdana"/>
                <w:sz w:val="18"/>
                <w:szCs w:val="18"/>
                <w:lang w:val="tr-TR"/>
              </w:rPr>
              <w:t>(9</w:t>
            </w:r>
            <w:r w:rsidR="00431479">
              <w:rPr>
                <w:rFonts w:ascii="Verdana" w:hAnsi="Verdana"/>
                <w:sz w:val="18"/>
                <w:szCs w:val="18"/>
                <w:lang w:val="tr-TR"/>
              </w:rPr>
              <w:t>. madde</w:t>
            </w:r>
            <w:r w:rsidR="007A7B53" w:rsidRPr="00A76AF4">
              <w:rPr>
                <w:rFonts w:ascii="Verdana" w:hAnsi="Verdana"/>
                <w:sz w:val="18"/>
                <w:szCs w:val="18"/>
                <w:lang w:val="tr-TR"/>
              </w:rPr>
              <w:t>)</w:t>
            </w:r>
          </w:p>
          <w:p w14:paraId="54BDC47D" w14:textId="49F0E3F9" w:rsidR="0021755F" w:rsidRPr="00A76AF4" w:rsidRDefault="0021755F" w:rsidP="007A7B53">
            <w:pPr>
              <w:spacing w:before="4" w:afterLines="24" w:after="57" w:line="280" w:lineRule="atLeast"/>
              <w:rPr>
                <w:rFonts w:ascii="Verdana" w:hAnsi="Verdana"/>
                <w:sz w:val="18"/>
                <w:szCs w:val="18"/>
                <w:lang w:val="tr-TR"/>
              </w:rPr>
            </w:pPr>
            <w:r w:rsidRPr="00A76AF4">
              <w:rPr>
                <w:rFonts w:ascii="Verdana" w:hAnsi="Verdana"/>
                <w:sz w:val="18"/>
                <w:szCs w:val="18"/>
                <w:lang w:val="tr-TR"/>
              </w:rPr>
              <w:t xml:space="preserve">4. </w:t>
            </w:r>
            <w:r w:rsidR="00FA75BA">
              <w:rPr>
                <w:rFonts w:ascii="Verdana" w:hAnsi="Verdana"/>
                <w:sz w:val="18"/>
                <w:szCs w:val="18"/>
                <w:lang w:val="tr-TR"/>
              </w:rPr>
              <w:t>Telif hakkı ve bununla bağlantılı hakların ihlaline ilişkin suçlar</w:t>
            </w:r>
          </w:p>
          <w:p w14:paraId="49BF3FD2" w14:textId="3CD206FC" w:rsidR="0021755F" w:rsidRPr="00A76AF4" w:rsidRDefault="007A7B53" w:rsidP="007A7B53">
            <w:pPr>
              <w:spacing w:beforeLines="20" w:before="48" w:after="24" w:line="280" w:lineRule="exact"/>
              <w:rPr>
                <w:lang w:val="tr-TR"/>
              </w:rPr>
            </w:pPr>
            <w:r w:rsidRPr="00A76AF4">
              <w:rPr>
                <w:lang w:val="tr-TR"/>
              </w:rPr>
              <w:t xml:space="preserve">a. </w:t>
            </w:r>
            <w:r w:rsidR="00FA75BA">
              <w:rPr>
                <w:rFonts w:ascii="Verdana" w:hAnsi="Verdana"/>
                <w:sz w:val="18"/>
                <w:szCs w:val="18"/>
                <w:lang w:val="tr-TR"/>
              </w:rPr>
              <w:t>Telif hakkı ve bununla bağlantılı hakların ihlaline ilişkin suçlar</w:t>
            </w:r>
            <w:r w:rsidR="00FA75BA" w:rsidRPr="00A76AF4">
              <w:rPr>
                <w:rFonts w:ascii="Verdana" w:hAnsi="Verdana"/>
                <w:sz w:val="18"/>
                <w:szCs w:val="18"/>
                <w:lang w:val="tr-TR"/>
              </w:rPr>
              <w:t xml:space="preserve"> </w:t>
            </w:r>
            <w:r w:rsidRPr="00A76AF4">
              <w:rPr>
                <w:rFonts w:ascii="Verdana" w:hAnsi="Verdana"/>
                <w:sz w:val="18"/>
                <w:szCs w:val="18"/>
                <w:lang w:val="tr-TR"/>
              </w:rPr>
              <w:t>(10</w:t>
            </w:r>
            <w:r w:rsidR="00431479">
              <w:rPr>
                <w:rFonts w:ascii="Verdana" w:hAnsi="Verdana"/>
                <w:sz w:val="18"/>
                <w:szCs w:val="18"/>
                <w:lang w:val="tr-TR"/>
              </w:rPr>
              <w:t>. madde</w:t>
            </w:r>
            <w:r w:rsidRPr="00A76AF4">
              <w:rPr>
                <w:rFonts w:ascii="Verdana" w:hAnsi="Verdana"/>
                <w:sz w:val="18"/>
                <w:szCs w:val="18"/>
                <w:lang w:val="tr-TR"/>
              </w:rPr>
              <w:t>)</w:t>
            </w:r>
          </w:p>
          <w:p w14:paraId="599EB5D7" w14:textId="77777777" w:rsidR="007A7B53" w:rsidRPr="00A76AF4" w:rsidRDefault="007A7B53" w:rsidP="007A7B53">
            <w:pPr>
              <w:spacing w:beforeLines="20" w:before="48" w:after="24" w:line="280" w:lineRule="exact"/>
              <w:rPr>
                <w:lang w:val="tr-TR"/>
              </w:rPr>
            </w:pPr>
          </w:p>
          <w:p w14:paraId="649FEA68" w14:textId="0F0AA634" w:rsidR="003406F3" w:rsidRPr="00A76AF4" w:rsidRDefault="00A71761" w:rsidP="007A7B53">
            <w:pPr>
              <w:spacing w:beforeLines="20" w:before="48" w:afterLines="120" w:after="288" w:line="280" w:lineRule="exact"/>
              <w:jc w:val="both"/>
              <w:rPr>
                <w:rFonts w:ascii="Verdana" w:hAnsi="Verdana"/>
                <w:sz w:val="18"/>
                <w:szCs w:val="18"/>
                <w:lang w:val="tr-TR"/>
              </w:rPr>
            </w:pPr>
            <w:r>
              <w:rPr>
                <w:rFonts w:ascii="Verdana" w:hAnsi="Verdana"/>
                <w:sz w:val="18"/>
                <w:szCs w:val="18"/>
                <w:lang w:val="tr-TR"/>
              </w:rPr>
              <w:t xml:space="preserve">Budapeşte Sözleşmesi’nde yer alan bu maddi hukuk hükümlerinin önemli unsurları katılımcılara </w:t>
            </w:r>
            <w:r w:rsidR="00A21BBB">
              <w:rPr>
                <w:rFonts w:ascii="Verdana" w:hAnsi="Verdana"/>
                <w:sz w:val="18"/>
                <w:szCs w:val="18"/>
                <w:lang w:val="tr-TR"/>
              </w:rPr>
              <w:t xml:space="preserve">aktarılmalıdır. Her bir maddedeki önemli unsurlar kırmızı metinle işaretlenmiş olup, kırmızıyla gösterilen her bir unsurun ardından bir önceki unsura ilişkin açıklamalar içeren slaytlar sunulmaktadır. Eğitmen elzem nitelik taşımayan bu ayrıntılı slaytları kullanmak zorunda olmamakla birlikte, her bir suçun yeterince detaylı biçimde izah edilmesi önem taşımaktadır. </w:t>
            </w:r>
          </w:p>
        </w:tc>
      </w:tr>
      <w:tr w:rsidR="003406F3" w:rsidRPr="00A76AF4" w14:paraId="07D9F9A7" w14:textId="77777777" w:rsidTr="00431479">
        <w:trPr>
          <w:trHeight w:val="620"/>
        </w:trPr>
        <w:tc>
          <w:tcPr>
            <w:tcW w:w="1615" w:type="dxa"/>
            <w:vAlign w:val="center"/>
          </w:tcPr>
          <w:p w14:paraId="0F0112E8" w14:textId="2273FA82" w:rsidR="00A00A58" w:rsidRPr="00A76AF4" w:rsidRDefault="00C32641" w:rsidP="00431479">
            <w:pPr>
              <w:jc w:val="center"/>
              <w:rPr>
                <w:rFonts w:ascii="Verdana" w:hAnsi="Verdana"/>
                <w:sz w:val="18"/>
                <w:szCs w:val="18"/>
                <w:lang w:val="tr-TR"/>
              </w:rPr>
            </w:pPr>
            <w:proofErr w:type="gramStart"/>
            <w:r w:rsidRPr="00A76AF4">
              <w:rPr>
                <w:rFonts w:ascii="Verdana" w:hAnsi="Verdana"/>
                <w:sz w:val="18"/>
                <w:szCs w:val="18"/>
                <w:lang w:val="tr-TR"/>
              </w:rPr>
              <w:t>1</w:t>
            </w:r>
            <w:r w:rsidR="00514A1A" w:rsidRPr="00A76AF4">
              <w:rPr>
                <w:rFonts w:ascii="Verdana" w:hAnsi="Verdana"/>
                <w:sz w:val="18"/>
                <w:szCs w:val="18"/>
                <w:lang w:val="tr-TR"/>
              </w:rPr>
              <w:t>16</w:t>
            </w:r>
            <w:r w:rsidRPr="00A76AF4">
              <w:rPr>
                <w:rFonts w:ascii="Verdana" w:hAnsi="Verdana"/>
                <w:sz w:val="18"/>
                <w:szCs w:val="18"/>
                <w:lang w:val="tr-TR"/>
              </w:rPr>
              <w:t xml:space="preserve"> </w:t>
            </w:r>
            <w:r w:rsidR="00431479">
              <w:rPr>
                <w:rFonts w:ascii="Verdana" w:hAnsi="Verdana"/>
                <w:sz w:val="18"/>
                <w:szCs w:val="18"/>
                <w:lang w:val="tr-TR"/>
              </w:rPr>
              <w:t>-</w:t>
            </w:r>
            <w:proofErr w:type="gramEnd"/>
            <w:r w:rsidRPr="00A76AF4">
              <w:rPr>
                <w:rFonts w:ascii="Verdana" w:hAnsi="Verdana"/>
                <w:sz w:val="18"/>
                <w:szCs w:val="18"/>
                <w:lang w:val="tr-TR"/>
              </w:rPr>
              <w:t xml:space="preserve"> 1</w:t>
            </w:r>
            <w:r w:rsidR="005E7081" w:rsidRPr="00A76AF4">
              <w:rPr>
                <w:rFonts w:ascii="Verdana" w:hAnsi="Verdana"/>
                <w:sz w:val="18"/>
                <w:szCs w:val="18"/>
                <w:lang w:val="tr-TR"/>
              </w:rPr>
              <w:t>42</w:t>
            </w:r>
          </w:p>
        </w:tc>
        <w:tc>
          <w:tcPr>
            <w:tcW w:w="7395" w:type="dxa"/>
            <w:gridSpan w:val="2"/>
            <w:vAlign w:val="center"/>
          </w:tcPr>
          <w:p w14:paraId="373F061B" w14:textId="7056592A" w:rsidR="00A00A58" w:rsidRPr="00FE0142" w:rsidRDefault="00FE0142" w:rsidP="00D24C27">
            <w:pPr>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 xml:space="preserve">Bu slaytlar müstakil vaka çalışmaları içermektedir. Her bir vaka çalışması oturumda ele alınan materyallerle ilgili kısa olgulardan oluşmaktadır. Eğitmen öncelikle bir vaka çalışmasındaki olay ve olguları okumalı ve ardından katılımcılara cevaplarını sunmaları için fırsat tanımalıdır. Eğitmenin </w:t>
            </w:r>
            <w:bookmarkStart w:id="0" w:name="_GoBack"/>
            <w:r>
              <w:rPr>
                <w:rFonts w:ascii="Verdana" w:eastAsia="Times New Roman" w:hAnsi="Verdana" w:cs="Times New Roman"/>
                <w:sz w:val="18"/>
                <w:szCs w:val="18"/>
                <w:lang w:val="tr-TR"/>
              </w:rPr>
              <w:t>araya</w:t>
            </w:r>
            <w:bookmarkEnd w:id="0"/>
            <w:r>
              <w:rPr>
                <w:rFonts w:ascii="Verdana" w:eastAsia="Times New Roman" w:hAnsi="Verdana" w:cs="Times New Roman"/>
                <w:sz w:val="18"/>
                <w:szCs w:val="18"/>
                <w:lang w:val="tr-TR"/>
              </w:rPr>
              <w:t xml:space="preserve"> girip katılımcıları olası cevaplara yönlendirmesi gerekebilir. Eğitmen oturumun bu kısmının interaktif geçmesini sağlamalıdır, böylelikle eğitmenin eğitimin verimli olup olmadığını anlama imkânı olacaktır.</w:t>
            </w:r>
          </w:p>
        </w:tc>
      </w:tr>
      <w:tr w:rsidR="00C32641" w:rsidRPr="00A76AF4" w14:paraId="5C76F591" w14:textId="77777777" w:rsidTr="00431479">
        <w:trPr>
          <w:trHeight w:val="1340"/>
        </w:trPr>
        <w:tc>
          <w:tcPr>
            <w:tcW w:w="1615" w:type="dxa"/>
            <w:vAlign w:val="center"/>
          </w:tcPr>
          <w:p w14:paraId="58B1E8F2" w14:textId="7241C90C" w:rsidR="00C32641" w:rsidRPr="00A76AF4" w:rsidRDefault="00C32641" w:rsidP="00431479">
            <w:pPr>
              <w:jc w:val="center"/>
              <w:rPr>
                <w:rFonts w:ascii="Verdana" w:hAnsi="Verdana"/>
                <w:sz w:val="18"/>
                <w:szCs w:val="18"/>
                <w:lang w:val="tr-TR"/>
              </w:rPr>
            </w:pPr>
            <w:proofErr w:type="gramStart"/>
            <w:r w:rsidRPr="00A76AF4">
              <w:rPr>
                <w:rFonts w:ascii="Verdana" w:hAnsi="Verdana"/>
                <w:sz w:val="18"/>
                <w:szCs w:val="18"/>
                <w:lang w:val="tr-TR"/>
              </w:rPr>
              <w:t>1</w:t>
            </w:r>
            <w:r w:rsidR="005E7081" w:rsidRPr="00A76AF4">
              <w:rPr>
                <w:rFonts w:ascii="Verdana" w:hAnsi="Verdana"/>
                <w:sz w:val="18"/>
                <w:szCs w:val="18"/>
                <w:lang w:val="tr-TR"/>
              </w:rPr>
              <w:t>43</w:t>
            </w:r>
            <w:r w:rsidRPr="00A76AF4">
              <w:rPr>
                <w:rFonts w:ascii="Verdana" w:hAnsi="Verdana"/>
                <w:sz w:val="18"/>
                <w:szCs w:val="18"/>
                <w:lang w:val="tr-TR"/>
              </w:rPr>
              <w:t xml:space="preserve"> </w:t>
            </w:r>
            <w:r w:rsidR="00431479">
              <w:rPr>
                <w:rFonts w:ascii="Verdana" w:hAnsi="Verdana"/>
                <w:sz w:val="18"/>
                <w:szCs w:val="18"/>
                <w:lang w:val="tr-TR"/>
              </w:rPr>
              <w:t>-</w:t>
            </w:r>
            <w:proofErr w:type="gramEnd"/>
            <w:r w:rsidRPr="00A76AF4">
              <w:rPr>
                <w:rFonts w:ascii="Verdana" w:hAnsi="Verdana"/>
                <w:sz w:val="18"/>
                <w:szCs w:val="18"/>
                <w:lang w:val="tr-TR"/>
              </w:rPr>
              <w:t xml:space="preserve"> 1</w:t>
            </w:r>
            <w:r w:rsidR="005E7081" w:rsidRPr="00A76AF4">
              <w:rPr>
                <w:rFonts w:ascii="Verdana" w:hAnsi="Verdana"/>
                <w:sz w:val="18"/>
                <w:szCs w:val="18"/>
                <w:lang w:val="tr-TR"/>
              </w:rPr>
              <w:t>45</w:t>
            </w:r>
          </w:p>
        </w:tc>
        <w:tc>
          <w:tcPr>
            <w:tcW w:w="7395" w:type="dxa"/>
            <w:gridSpan w:val="2"/>
            <w:vAlign w:val="center"/>
          </w:tcPr>
          <w:p w14:paraId="3C42745D" w14:textId="2215B27C" w:rsidR="00C32641" w:rsidRPr="00A76AF4" w:rsidRDefault="00933268" w:rsidP="00B468A3">
            <w:pPr>
              <w:spacing w:before="120" w:after="120" w:line="280" w:lineRule="exact"/>
              <w:jc w:val="both"/>
              <w:rPr>
                <w:rFonts w:ascii="Verdana" w:eastAsia="Times New Roman" w:hAnsi="Verdana" w:cs="Times New Roman"/>
                <w:sz w:val="18"/>
                <w:szCs w:val="18"/>
                <w:lang w:val="tr-TR"/>
              </w:rPr>
            </w:pPr>
            <w:r>
              <w:rPr>
                <w:rFonts w:ascii="Verdana" w:eastAsia="Times New Roman" w:hAnsi="Verdana" w:cs="Times New Roman"/>
                <w:sz w:val="18"/>
                <w:szCs w:val="18"/>
                <w:lang w:val="tr-TR"/>
              </w:rPr>
              <w:t xml:space="preserve">Eğitmen oturumun hedeflerini katılımcılarla birlikte tekrarlamalı ve katılımcılara bu modülde yer alan materyallerle ilgili sormak istedikleri her türlü soruyu sorma fırsatı vermelidir. </w:t>
            </w:r>
          </w:p>
        </w:tc>
      </w:tr>
      <w:tr w:rsidR="003406F3" w:rsidRPr="00A76AF4" w14:paraId="2ECF09B7" w14:textId="77777777" w:rsidTr="00431479">
        <w:trPr>
          <w:trHeight w:val="1050"/>
        </w:trPr>
        <w:tc>
          <w:tcPr>
            <w:tcW w:w="9010" w:type="dxa"/>
            <w:gridSpan w:val="3"/>
            <w:vAlign w:val="center"/>
          </w:tcPr>
          <w:p w14:paraId="55ED1F4B" w14:textId="15188FB3" w:rsidR="00CB3026" w:rsidRPr="00A76AF4" w:rsidRDefault="00431479" w:rsidP="00CB3026">
            <w:pPr>
              <w:spacing w:before="120" w:after="120" w:line="280" w:lineRule="exact"/>
              <w:rPr>
                <w:rFonts w:ascii="Verdana" w:hAnsi="Verdana"/>
                <w:b/>
                <w:sz w:val="22"/>
                <w:szCs w:val="22"/>
                <w:lang w:val="tr-TR"/>
              </w:rPr>
            </w:pPr>
            <w:r>
              <w:rPr>
                <w:rFonts w:ascii="Verdana" w:hAnsi="Verdana"/>
                <w:b/>
                <w:sz w:val="22"/>
                <w:szCs w:val="22"/>
                <w:lang w:val="tr-TR"/>
              </w:rPr>
              <w:t>Pratik Çalışmalar</w:t>
            </w:r>
          </w:p>
          <w:p w14:paraId="04D65D89" w14:textId="21C52A75" w:rsidR="00CB3026" w:rsidRPr="00A76AF4" w:rsidRDefault="00431479" w:rsidP="004639E3">
            <w:pPr>
              <w:spacing w:before="120" w:after="120" w:line="280" w:lineRule="exact"/>
              <w:rPr>
                <w:rFonts w:ascii="Verdana" w:hAnsi="Verdana"/>
                <w:sz w:val="18"/>
                <w:szCs w:val="18"/>
                <w:lang w:val="tr-TR"/>
              </w:rPr>
            </w:pPr>
            <w:r>
              <w:rPr>
                <w:rFonts w:ascii="Verdana" w:hAnsi="Verdana"/>
                <w:sz w:val="18"/>
                <w:szCs w:val="18"/>
                <w:lang w:val="tr-TR"/>
              </w:rPr>
              <w:t xml:space="preserve">Bu derste öngörülen bir pratik çalışma bulunmamaktadır. </w:t>
            </w:r>
          </w:p>
        </w:tc>
      </w:tr>
      <w:tr w:rsidR="003406F3" w:rsidRPr="00A76AF4" w14:paraId="603967A2" w14:textId="77777777" w:rsidTr="00431479">
        <w:tc>
          <w:tcPr>
            <w:tcW w:w="9010" w:type="dxa"/>
            <w:gridSpan w:val="3"/>
            <w:vAlign w:val="center"/>
          </w:tcPr>
          <w:p w14:paraId="57B48D1E" w14:textId="114106F1" w:rsidR="00CB3026" w:rsidRPr="00A76AF4" w:rsidRDefault="00431479" w:rsidP="00CB3026">
            <w:pPr>
              <w:spacing w:before="120" w:after="120" w:line="280" w:lineRule="exact"/>
              <w:rPr>
                <w:rFonts w:ascii="Verdana" w:hAnsi="Verdana"/>
                <w:b/>
                <w:sz w:val="22"/>
                <w:szCs w:val="22"/>
                <w:lang w:val="tr-TR"/>
              </w:rPr>
            </w:pPr>
            <w:r>
              <w:rPr>
                <w:rFonts w:ascii="Verdana" w:hAnsi="Verdana"/>
                <w:b/>
                <w:sz w:val="22"/>
                <w:szCs w:val="22"/>
                <w:lang w:val="tr-TR"/>
              </w:rPr>
              <w:t>Değerlendirme</w:t>
            </w:r>
            <w:r w:rsidR="00CB3026" w:rsidRPr="00A76AF4">
              <w:rPr>
                <w:rFonts w:ascii="Verdana" w:hAnsi="Verdana"/>
                <w:b/>
                <w:sz w:val="22"/>
                <w:szCs w:val="22"/>
                <w:lang w:val="tr-TR"/>
              </w:rPr>
              <w:t>/</w:t>
            </w:r>
            <w:r>
              <w:rPr>
                <w:rFonts w:ascii="Verdana" w:hAnsi="Verdana"/>
                <w:b/>
                <w:sz w:val="22"/>
                <w:szCs w:val="22"/>
                <w:lang w:val="tr-TR"/>
              </w:rPr>
              <w:t>Bilgi Testi</w:t>
            </w:r>
          </w:p>
          <w:p w14:paraId="4496975B" w14:textId="05AA0AFA" w:rsidR="00CB3026" w:rsidRPr="00A76AF4" w:rsidRDefault="00431479" w:rsidP="0067240F">
            <w:pPr>
              <w:spacing w:before="120" w:after="120" w:line="280" w:lineRule="exact"/>
              <w:jc w:val="both"/>
              <w:rPr>
                <w:rFonts w:ascii="Verdana" w:hAnsi="Verdana"/>
                <w:sz w:val="18"/>
                <w:szCs w:val="18"/>
                <w:lang w:val="tr-TR"/>
              </w:rPr>
            </w:pPr>
            <w:r>
              <w:rPr>
                <w:rFonts w:ascii="Verdana" w:hAnsi="Verdana"/>
                <w:sz w:val="18"/>
                <w:szCs w:val="18"/>
                <w:lang w:val="tr-TR"/>
              </w:rPr>
              <w:t xml:space="preserve">Bu oturum için hazırlanmış </w:t>
            </w:r>
            <w:r w:rsidR="00A21BBB">
              <w:rPr>
                <w:rFonts w:ascii="Verdana" w:hAnsi="Verdana"/>
                <w:sz w:val="18"/>
                <w:szCs w:val="18"/>
                <w:lang w:val="tr-TR"/>
              </w:rPr>
              <w:t>resmi</w:t>
            </w:r>
            <w:r>
              <w:rPr>
                <w:rFonts w:ascii="Verdana" w:hAnsi="Verdana"/>
                <w:sz w:val="18"/>
                <w:szCs w:val="18"/>
                <w:lang w:val="tr-TR"/>
              </w:rPr>
              <w:t xml:space="preserve"> bir değerlendirme bulunmamaktadır. Eğitmen oturum boyunca konuyla ilgili sorular sorarak bilgi ve kavrayışı test etmeye </w:t>
            </w:r>
            <w:r w:rsidR="0067240F">
              <w:rPr>
                <w:rFonts w:ascii="Verdana" w:hAnsi="Verdana"/>
                <w:sz w:val="18"/>
                <w:szCs w:val="18"/>
                <w:lang w:val="tr-TR"/>
              </w:rPr>
              <w:t>teşvik edilmektedir</w:t>
            </w:r>
            <w:r>
              <w:rPr>
                <w:rFonts w:ascii="Verdana" w:hAnsi="Verdana"/>
                <w:sz w:val="18"/>
                <w:szCs w:val="18"/>
                <w:lang w:val="tr-TR"/>
              </w:rPr>
              <w:t xml:space="preserve">. Eğitmen ayrıca oturumun hedeflerine ulaşılıp ulaşılmadığını ölçmek için vaka çalışmalarından da yararlanmalıdır. </w:t>
            </w:r>
          </w:p>
        </w:tc>
      </w:tr>
    </w:tbl>
    <w:p w14:paraId="15498912" w14:textId="77777777" w:rsidR="00D82C18" w:rsidRPr="00A76AF4" w:rsidRDefault="00D82C18" w:rsidP="00431479">
      <w:pPr>
        <w:rPr>
          <w:rFonts w:ascii="Verdana" w:hAnsi="Verdana"/>
          <w:lang w:val="tr-TR"/>
        </w:rPr>
      </w:pPr>
    </w:p>
    <w:sectPr w:rsidR="00D82C18" w:rsidRPr="00A76AF4"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charset w:val="00"/>
    <w:family w:val="swiss"/>
    <w:pitch w:val="variable"/>
    <w:sig w:usb0="A10006FF" w:usb1="4000205B" w:usb2="00000010" w:usb3="00000000" w:csb0="0000019F" w:csb1="00000000"/>
  </w:font>
  <w:font w:name="Yu Gothic Light">
    <w:panose1 w:val="020B0300000000000000"/>
    <w:charset w:val="80"/>
    <w:family w:val="auto"/>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5935290"/>
    <w:multiLevelType w:val="hybridMultilevel"/>
    <w:tmpl w:val="684A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C0868"/>
    <w:rsid w:val="000D00E9"/>
    <w:rsid w:val="000D7E3F"/>
    <w:rsid w:val="00105271"/>
    <w:rsid w:val="00105DD4"/>
    <w:rsid w:val="00175ADE"/>
    <w:rsid w:val="00194E7F"/>
    <w:rsid w:val="00200D31"/>
    <w:rsid w:val="0021755F"/>
    <w:rsid w:val="002216F0"/>
    <w:rsid w:val="00271010"/>
    <w:rsid w:val="0027512B"/>
    <w:rsid w:val="002C6CD3"/>
    <w:rsid w:val="002F375E"/>
    <w:rsid w:val="003406F3"/>
    <w:rsid w:val="003630ED"/>
    <w:rsid w:val="003E0EDB"/>
    <w:rsid w:val="00431479"/>
    <w:rsid w:val="00446001"/>
    <w:rsid w:val="004639E3"/>
    <w:rsid w:val="004938A4"/>
    <w:rsid w:val="00514A1A"/>
    <w:rsid w:val="00534FB7"/>
    <w:rsid w:val="005703B7"/>
    <w:rsid w:val="00594B3F"/>
    <w:rsid w:val="005951B6"/>
    <w:rsid w:val="005A4E47"/>
    <w:rsid w:val="005E7081"/>
    <w:rsid w:val="005F2004"/>
    <w:rsid w:val="0067240F"/>
    <w:rsid w:val="007169BB"/>
    <w:rsid w:val="00761BA4"/>
    <w:rsid w:val="007A7B53"/>
    <w:rsid w:val="007B67ED"/>
    <w:rsid w:val="007B75A9"/>
    <w:rsid w:val="00821651"/>
    <w:rsid w:val="00823B30"/>
    <w:rsid w:val="00854CBB"/>
    <w:rsid w:val="008E3FE7"/>
    <w:rsid w:val="009277BD"/>
    <w:rsid w:val="00933268"/>
    <w:rsid w:val="00961594"/>
    <w:rsid w:val="00A00A58"/>
    <w:rsid w:val="00A03CF0"/>
    <w:rsid w:val="00A040F0"/>
    <w:rsid w:val="00A21BBB"/>
    <w:rsid w:val="00A23567"/>
    <w:rsid w:val="00A4110D"/>
    <w:rsid w:val="00A71761"/>
    <w:rsid w:val="00A734A5"/>
    <w:rsid w:val="00A76AF4"/>
    <w:rsid w:val="00AB192E"/>
    <w:rsid w:val="00AF2715"/>
    <w:rsid w:val="00AF62EC"/>
    <w:rsid w:val="00B22AD0"/>
    <w:rsid w:val="00B468A3"/>
    <w:rsid w:val="00B569A5"/>
    <w:rsid w:val="00B71D66"/>
    <w:rsid w:val="00B90745"/>
    <w:rsid w:val="00BF1C28"/>
    <w:rsid w:val="00C32641"/>
    <w:rsid w:val="00C5141A"/>
    <w:rsid w:val="00C541A2"/>
    <w:rsid w:val="00C551E7"/>
    <w:rsid w:val="00CB02C4"/>
    <w:rsid w:val="00CB3026"/>
    <w:rsid w:val="00D06AB2"/>
    <w:rsid w:val="00D24C27"/>
    <w:rsid w:val="00D576F2"/>
    <w:rsid w:val="00D82C18"/>
    <w:rsid w:val="00D944B5"/>
    <w:rsid w:val="00E13BE7"/>
    <w:rsid w:val="00E17E67"/>
    <w:rsid w:val="00E22D07"/>
    <w:rsid w:val="00E55549"/>
    <w:rsid w:val="00E7344B"/>
    <w:rsid w:val="00E95703"/>
    <w:rsid w:val="00F35B67"/>
    <w:rsid w:val="00F62A15"/>
    <w:rsid w:val="00FA75BA"/>
    <w:rsid w:val="00FC677E"/>
    <w:rsid w:val="00FE0142"/>
  </w:rsids>
  <m:mathPr>
    <m:mathFont m:val="Cambria Math"/>
    <m:brkBin m:val="before"/>
    <m:brkBinSub m:val="--"/>
    <m:smallFrac m:val="0"/>
    <m:dispDef/>
    <m:lMargin m:val="0"/>
    <m:rMargin m:val="0"/>
    <m:defJc m:val="centerGroup"/>
    <m:wrapIndent m:val="1440"/>
    <m:intLim m:val="subSup"/>
    <m:naryLim m:val="undOvr"/>
  </m:mathPr>
  <w:themeFontLang w:val="en-GB"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3F90A42F-8835-4D80-971C-6EA19B911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Kpr">
    <w:name w:val="Hyperlink"/>
    <w:basedOn w:val="VarsaylanParagrafYazTipi"/>
    <w:uiPriority w:val="99"/>
    <w:unhideWhenUsed/>
    <w:rsid w:val="005703B7"/>
    <w:rPr>
      <w:color w:val="0563C1" w:themeColor="hyperlink"/>
      <w:u w:val="single"/>
    </w:rPr>
  </w:style>
  <w:style w:type="paragraph" w:styleId="Altyaz">
    <w:name w:val="Subtitle"/>
    <w:basedOn w:val="Normal"/>
    <w:next w:val="Normal"/>
    <w:link w:val="Altyaz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AltyazChar">
    <w:name w:val="Altyazı Char"/>
    <w:basedOn w:val="VarsaylanParagrafYazTipi"/>
    <w:link w:val="Altyaz"/>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648</Words>
  <Characters>3696</Characters>
  <Application>Microsoft Macintosh Word</Application>
  <DocSecurity>0</DocSecurity>
  <Lines>30</Lines>
  <Paragraphs>8</Paragraphs>
  <ScaleCrop>false</ScaleCrop>
  <HeadingPairs>
    <vt:vector size="2" baseType="variant">
      <vt:variant>
        <vt:lpstr>Başlık</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defne orhun</cp:lastModifiedBy>
  <cp:revision>27</cp:revision>
  <dcterms:created xsi:type="dcterms:W3CDTF">2017-06-17T13:17:00Z</dcterms:created>
  <dcterms:modified xsi:type="dcterms:W3CDTF">2017-10-28T09:11:00Z</dcterms:modified>
</cp:coreProperties>
</file>